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pP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r>
    </w:p>
    <w:p>
      <w:pPr>
        <w:pStyle w:val="Normal"/>
        <w:widowControl/>
        <w:spacing w:before="0" w:after="0"/>
        <w:ind w:hanging="0" w:start="0" w:end="0"/>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pP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t>Tekst kuratorski:</w:t>
      </w:r>
    </w:p>
    <w:p>
      <w:pPr>
        <w:pStyle w:val="Normal"/>
        <w:widowControl/>
        <w:spacing w:before="0" w:after="0"/>
        <w:ind w:hanging="0" w:start="0" w:end="0"/>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pP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r>
    </w:p>
    <w:p>
      <w:pPr>
        <w:pStyle w:val="Normal"/>
        <w:widowControl/>
        <w:spacing w:before="0" w:after="0"/>
        <w:ind w:hanging="0" w:start="0" w:end="0"/>
        <w:rPr>
          <w:u w:val="none"/>
        </w:rPr>
      </w:pPr>
      <w:r>
        <w:rPr>
          <w:b/>
          <w:i/>
          <w:u w:val="none"/>
        </w:rPr>
        <w:t>Kłącza energii i materii</w:t>
      </w:r>
    </w:p>
    <w:p>
      <w:pPr>
        <w:pStyle w:val="Normal"/>
        <w:widowControl/>
        <w:spacing w:before="0" w:after="0"/>
        <w:ind w:hanging="0" w:start="0" w:end="0"/>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pP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r>
    </w:p>
    <w:p>
      <w:pPr>
        <w:pStyle w:val="Normal"/>
        <w:widowControl/>
        <w:spacing w:before="0" w:after="0"/>
        <w:ind w:hanging="0" w:start="0" w:end="0"/>
        <w:rPr>
          <w:caps w:val="false"/>
          <w:smallCaps w:val="false"/>
          <w:color w:val="242424"/>
          <w:spacing w:val="0"/>
        </w:rPr>
      </w:pPr>
      <w:r>
        <w:rPr>
          <w:caps w:val="false"/>
          <w:smallCaps w:val="false"/>
          <w:color w:val="242424"/>
          <w:spacing w:val="0"/>
        </w:rPr>
        <w:t>„</w:t>
      </w: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t>Dowolny punkt kłącza może być połączony z każdym innym i powinien być z nim połączony” (tłumaczenie własne)</w:t>
      </w:r>
    </w:p>
    <w:p>
      <w:pPr>
        <w:pStyle w:val="Normal"/>
        <w:widowControl/>
        <w:spacing w:before="0" w:after="0"/>
        <w:ind w:hanging="0" w:start="0" w:end="0"/>
        <w:rPr>
          <w:rFonts w:ascii="Segoe UI;Segoe UI Web (West European);apple-system;BlinkMacSystemFont;Roboto;Helvetica Neue;sans-serif" w:hAnsi="Segoe UI;Segoe UI Web (West European);apple-system;BlinkMacSystemFont;Roboto;Helvetica Neue;sans-serif"/>
          <w:b/>
          <w:i/>
          <w:caps w:val="false"/>
          <w:smallCaps w:val="false"/>
          <w:color w:val="242424"/>
          <w:spacing w:val="0"/>
          <w:sz w:val="23"/>
        </w:rPr>
      </w:pPr>
      <w:r>
        <w:rPr>
          <w:rFonts w:ascii="Segoe UI;Segoe UI Web (West European);apple-system;BlinkMacSystemFont;Roboto;Helvetica Neue;sans-serif" w:hAnsi="Segoe UI;Segoe UI Web (West European);apple-system;BlinkMacSystemFont;Roboto;Helvetica Neue;sans-serif"/>
          <w:b/>
          <w:i/>
          <w:caps w:val="false"/>
          <w:smallCaps w:val="false"/>
          <w:color w:val="242424"/>
          <w:spacing w:val="0"/>
          <w:sz w:val="23"/>
        </w:rPr>
      </w:r>
    </w:p>
    <w:p>
      <w:pPr>
        <w:pStyle w:val="Normal"/>
        <w:widowControl/>
        <w:spacing w:before="0" w:after="0"/>
        <w:ind w:hanging="0" w:start="0" w:end="0"/>
        <w:rPr>
          <w:rFonts w:ascii="Segoe UI;Segoe UI Web (West European);apple-system;BlinkMacSystemFont;Roboto;Helvetica Neue;sans-serif" w:hAnsi="Segoe UI;Segoe UI Web (West European);apple-system;BlinkMacSystemFont;Roboto;Helvetica Neue;sans-serif"/>
          <w:b/>
          <w:i/>
          <w:caps w:val="false"/>
          <w:smallCaps w:val="false"/>
          <w:color w:val="242424"/>
          <w:spacing w:val="0"/>
          <w:sz w:val="23"/>
        </w:rPr>
      </w:pPr>
      <w:r>
        <w:rPr>
          <w:rFonts w:ascii="Segoe UI;Segoe UI Web (West European);apple-system;BlinkMacSystemFont;Roboto;Helvetica Neue;sans-serif" w:hAnsi="Segoe UI;Segoe UI Web (West European);apple-system;BlinkMacSystemFont;Roboto;Helvetica Neue;sans-serif"/>
          <w:b/>
          <w:i/>
          <w:caps w:val="false"/>
          <w:smallCaps w:val="false"/>
          <w:color w:val="242424"/>
          <w:spacing w:val="0"/>
          <w:sz w:val="23"/>
        </w:rPr>
        <w:t>Gilles Deleuze, Félix Guattari, Mille Plateaux. Capitalisme et schizophrénie 2, Paris: Les Éditions de Minuit, 1980, rozdział « Introduction : Rhizome », s. 13.</w:t>
      </w:r>
    </w:p>
    <w:p>
      <w:pPr>
        <w:pStyle w:val="Normal"/>
        <w:widowControl/>
        <w:spacing w:before="0" w:after="0"/>
        <w:ind w:hanging="0" w:start="0" w:end="0"/>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pP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r>
    </w:p>
    <w:p>
      <w:pPr>
        <w:pStyle w:val="Normal"/>
        <w:widowControl/>
        <w:spacing w:before="0" w:after="0"/>
        <w:ind w:hanging="0" w:start="0" w:end="0"/>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pP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t>Jeżeli druga połowa XX wieku, za sprawą włoskiej </w:t>
      </w:r>
      <w:r>
        <w:rPr>
          <w:rFonts w:ascii="Segoe UI;Segoe UI Web (West European);apple-system;BlinkMacSystemFont;Roboto;Helvetica Neue;sans-serif" w:hAnsi="Segoe UI;Segoe UI Web (West European);apple-system;BlinkMacSystemFont;Roboto;Helvetica Neue;sans-serif"/>
          <w:b w:val="false"/>
          <w:i/>
          <w:caps w:val="false"/>
          <w:smallCaps w:val="false"/>
          <w:color w:val="242424"/>
          <w:spacing w:val="0"/>
          <w:sz w:val="23"/>
        </w:rPr>
        <w:t>arte povera</w:t>
      </w: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t>, przywróciła sztuce znaczenie materii pozostającej poza tradycyjnym polem artystycznym, to twórczość Marco Angeliniego otwiera kolejny etap tej historii. Artysta należy do grona pionierów, którzy uczynili panele i ogniwa fotowoltaiczne autonomicznym tworzywem artystycznym, wprowadzając materiał transformacji energetycznej do języka współczesnej sztuki. Od kilkunastu lat konsekwentnie bada ich strukturę, możliwości formalne oraz znaczenie kulturowe, nie traktując ich jako gotowych przedmiotów czy ekologicznych symboli, lecz jako zapis przemian cywilizacyjnych. Energia jako materiał artystyczny staje się w jego praktyce nowym językiem opisu relacji między człowiekiem, naturą i technologią.</w:t>
      </w:r>
    </w:p>
    <w:p>
      <w:pPr>
        <w:pStyle w:val="Normal"/>
        <w:widowControl/>
        <w:spacing w:before="0" w:after="0"/>
        <w:ind w:hanging="0" w:start="0" w:end="0"/>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pP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r>
    </w:p>
    <w:p>
      <w:pPr>
        <w:pStyle w:val="Normal"/>
        <w:widowControl/>
        <w:spacing w:before="0" w:after="0"/>
        <w:ind w:hanging="0" w:start="0" w:end="0"/>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pP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t>Prezentowana obecnie wystawa pt. </w:t>
      </w:r>
      <w:r>
        <w:rPr>
          <w:rFonts w:ascii="Segoe UI;Segoe UI Web (West European);apple-system;BlinkMacSystemFont;Roboto;Helvetica Neue;sans-serif" w:hAnsi="Segoe UI;Segoe UI Web (West European);apple-system;BlinkMacSystemFont;Roboto;Helvetica Neue;sans-serif"/>
          <w:b w:val="false"/>
          <w:i/>
          <w:caps w:val="false"/>
          <w:smallCaps w:val="false"/>
          <w:color w:val="242424"/>
          <w:spacing w:val="0"/>
          <w:sz w:val="23"/>
        </w:rPr>
        <w:t>Kłącza energii i materii </w:t>
      </w: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t>w Instytucie Kultury Włoskiej w Brukseli stanowi kontynuację wieloletnich poszukiwań artysty związanych z energią, technologią i pamięcią materii, których szeroka prezentacja miała miejsce podczas indywidualnej ekspozycji w Muzeum Współczesnym Wrocław. Tam po raz pierwszy w tak rozbudowanej formie ukazany został dialog pomiędzy malarstwem, strukturami technologicznymi oraz refleksją nad przyszłością relacji człowieka ze światem naturalnym. Brukselska prezentacja rozwija ten kierunek, skupiając się na dalszym odkrywaniu energii jako tworzywa artystycznego oraz na niewidzialnych powiązaniach pomiędzy procesami biologicznymi, technologicznymi i kulturowymi. Artysta nie tworzy wizji świata po katastrofie ani nie ulega estetyce ekologicznego alarmizmu. Nie interesuje go przyszłość oparta na lęku przed odpadami czy antropocentrycznej dominacji człowieka. Punktem odniesienia pozostaje natura – najdoskonalszy system wymiany energii, pamięci i współzależności, który od milionów lat nie przestaje funkcjonować. Technologia nie jest jej przeciwieństwem, lecz może stać się narzędziem głębszego zrozumienia procesów biologicznych. Dlatego Marco Angelini rozbiera panele fotowoltaiczne na elementy, analizuje ich strukturę, przetwarza je i ponownie komponuje, nadając im nowe znaczenia. Odkrywa w nich nieoczywisty potencjał estetyczny, który pozwala spojrzeć na technologię jako na współczesną materię artystyczną.</w:t>
      </w:r>
    </w:p>
    <w:p>
      <w:pPr>
        <w:pStyle w:val="Normal"/>
        <w:widowControl/>
        <w:spacing w:before="0" w:after="0"/>
        <w:ind w:hanging="0" w:start="0" w:end="0"/>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pP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t>Najpełniej ten proces widoczny jest w malarstwie, które stanowi główną oś wystawy. Fragmenty paneli i ogniw fotowoltaicznych zostają wpisane w odważne kompozycje barwne, w których linie, punkty, geometryczne podziały i organiczne plamy prowadzą ze sobą nieustanny dialog. Obrazy balansują pomiędzy porządkiem biologii a logiką technologii, pobudzając wyobraźnię i kierując uwagę ku niewidzialnym procesom organizującym rzeczywistość. Światło wychodzi poza wymiar fizycznego zjawiska, stając się w obrazach tworzywem wizualnej narracji i metaforą poznania. W tej perspektywie ogniwo fotowoltaiczne nie jest już elementem konstrukcyjnym, lecz znakiem współczesnej kultury – świadectwem poszukiwania równowagi pomiędzy energią natury a energią wytwarzaną przez człowieka.</w:t>
      </w:r>
    </w:p>
    <w:p>
      <w:pPr>
        <w:pStyle w:val="Normal"/>
        <w:widowControl/>
        <w:spacing w:before="0" w:after="0"/>
        <w:ind w:hanging="0" w:start="0" w:end="0"/>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pP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r>
    </w:p>
    <w:p>
      <w:pPr>
        <w:pStyle w:val="Normal"/>
        <w:widowControl/>
        <w:spacing w:before="0" w:after="0"/>
        <w:ind w:hanging="0" w:start="0" w:end="0"/>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pP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t>Szczególne miejsce zajmuje cykl </w:t>
      </w:r>
      <w:r>
        <w:rPr>
          <w:rFonts w:ascii="Segoe UI;Segoe UI Web (West European);apple-system;BlinkMacSystemFont;Roboto;Helvetica Neue;sans-serif" w:hAnsi="Segoe UI;Segoe UI Web (West European);apple-system;BlinkMacSystemFont;Roboto;Helvetica Neue;sans-serif"/>
          <w:b w:val="false"/>
          <w:i/>
          <w:caps w:val="false"/>
          <w:smallCaps w:val="false"/>
          <w:color w:val="242424"/>
          <w:spacing w:val="0"/>
          <w:sz w:val="23"/>
        </w:rPr>
        <w:t>Rhizome</w:t>
      </w: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t>, odwołujący się do idei kłącza jako modelu współczesnych systemów energetycznych, sieci technologicznych oraz przepływu wiedzy. Nie są to struktury zamknięte ani hierarchiczne, lecz organizmy pozostające w ciągłym ruchu i nieustannie tworzące nowe połączenia. Wokół obrazów rozciągają się kolorowe nici, które rozszerzają malarską narrację w przestrzeń wystawy. Rysują niewidzialną mapę relacji, sugerując, że zarówno natura, jak i technologia funkcjonują dzięki niekończącej się sieci wzajemnych zależności.</w:t>
      </w:r>
    </w:p>
    <w:p>
      <w:pPr>
        <w:pStyle w:val="Normal"/>
        <w:widowControl/>
        <w:spacing w:before="0" w:after="0"/>
        <w:ind w:hanging="0" w:start="0" w:end="0"/>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pP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r>
    </w:p>
    <w:p>
      <w:pPr>
        <w:pStyle w:val="Normal"/>
        <w:widowControl/>
        <w:spacing w:before="0" w:after="0"/>
        <w:ind w:hanging="0" w:start="0" w:end="0"/>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pP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t>Instalacje nie dominują narracji, lecz subtelnie ją rozwijają. Transparentna piramida z pleksiglasu, wewnątrz której znajduje się ogniwo fotowoltaiczne oraz serce wykonane w technologii druku 3D, staje się symbolem spotkania biologii i technologii. Drugą realizację tworzą serca o dwóch skalach – monumentalne, gipsowe, odwołujące się do ludzkiej sprawczości i siły, oraz serca wydrukowane w technologii 3D, odpowiadające rozmiarowi ludzkiego organu. Powtarzalne, niemal anonimowe, budują opowieść o wspólnocie, pamięci emocjonalnej i współodczuwaniu. Obie instalacje nie ilustrują malarstwa, lecz otwierają jego znaczenia, prowadząc widza od doświadczenia materialności ku refleksji nad energią życia.</w:t>
      </w:r>
    </w:p>
    <w:p>
      <w:pPr>
        <w:pStyle w:val="Normal"/>
        <w:widowControl/>
        <w:spacing w:before="0" w:after="0"/>
        <w:ind w:hanging="0" w:start="0" w:end="0"/>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pP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r>
    </w:p>
    <w:p>
      <w:pPr>
        <w:pStyle w:val="Normal"/>
        <w:widowControl/>
        <w:spacing w:before="0" w:after="0"/>
        <w:ind w:hanging="0" w:start="0" w:end="0"/>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pP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t>Narrację wystawy dopełnia wideo-art </w:t>
      </w:r>
      <w:r>
        <w:rPr>
          <w:rFonts w:ascii="Segoe UI;Segoe UI Web (West European);apple-system;BlinkMacSystemFont;Roboto;Helvetica Neue;sans-serif" w:hAnsi="Segoe UI;Segoe UI Web (West European);apple-system;BlinkMacSystemFont;Roboto;Helvetica Neue;sans-serif"/>
          <w:b w:val="false"/>
          <w:i/>
          <w:caps w:val="false"/>
          <w:smallCaps w:val="false"/>
          <w:color w:val="242424"/>
          <w:spacing w:val="0"/>
          <w:sz w:val="23"/>
        </w:rPr>
        <w:t>Solaris</w:t>
      </w: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t> </w:t>
      </w:r>
      <w:r>
        <w:rPr>
          <w:rFonts w:ascii="Segoe UI;Segoe UI Web (West European);apple-system;BlinkMacSystemFont;Roboto;Helvetica Neue;sans-serif" w:hAnsi="Segoe UI;Segoe UI Web (West European);apple-system;BlinkMacSystemFont;Roboto;Helvetica Neue;sans-serif"/>
          <w:b w:val="false"/>
          <w:i/>
          <w:caps w:val="false"/>
          <w:smallCaps w:val="false"/>
          <w:color w:val="242424"/>
          <w:spacing w:val="0"/>
          <w:sz w:val="23"/>
        </w:rPr>
        <w:t>in</w:t>
      </w: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t> </w:t>
      </w:r>
      <w:r>
        <w:rPr>
          <w:rFonts w:ascii="Segoe UI;Segoe UI Web (West European);apple-system;BlinkMacSystemFont;Roboto;Helvetica Neue;sans-serif" w:hAnsi="Segoe UI;Segoe UI Web (West European);apple-system;BlinkMacSystemFont;Roboto;Helvetica Neue;sans-serif"/>
          <w:b w:val="false"/>
          <w:i/>
          <w:caps w:val="false"/>
          <w:smallCaps w:val="false"/>
          <w:color w:val="242424"/>
          <w:spacing w:val="0"/>
          <w:sz w:val="23"/>
        </w:rPr>
        <w:t>fabula</w:t>
      </w: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t>. W filmie miasto wybrzmiewa poprzez dźwięk, a nie architekturę. Odgłosy kroków, rozmów, ruchu ulicznego, sygnałów komunikacyjnych i codziennych rytmów miejskiego życia stają się impulsem do uruchamiania emocji oraz pamięci. W dialogu z obrazami Angeliniego tworzą przestrzeń, w której malarstwo przestaje być jedynie przedmiotem oglądu, a staje się światem znaków i symboli. Obraz, światło i dźwięk wzajemnie się dopełniają, budując napięcie pomiędzy tym, co widzialne, a tym, co jedynie przeczuwane. To właśnie w tej relacji ujawnia się najważniejszy wymiar twórczości Angeliniego – przekonanie, że rzeczywistość nie składa się z odrębnych elementów, lecz z sieci powiązań, które język artystyczny może uczynić dostrzegalnymi.</w:t>
      </w:r>
    </w:p>
    <w:p>
      <w:pPr>
        <w:pStyle w:val="Normal"/>
        <w:widowControl/>
        <w:spacing w:before="0" w:after="0"/>
        <w:ind w:hanging="0" w:start="0" w:end="0"/>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pP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r>
    </w:p>
    <w:p>
      <w:pPr>
        <w:pStyle w:val="Normal"/>
        <w:widowControl/>
        <w:spacing w:before="0" w:after="0"/>
        <w:ind w:hanging="0" w:start="0" w:end="0"/>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pP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t>Twórczość Marco Angeliniego wyznacza kierunek, w którym sztuka nie tyle komentuje współczesność, ile aktywnie uczestniczy w jej kształtowaniu. Nadając panelom i ogniwom fotowoltaicznym nowy wymiar estetyczny i symboliczny, rozszerza historię medium artystycznego o elementy, które jeszcze do niedawna pozostawały poza polem zainteresowania twórców. Jego obrazy i instalacje wpisują się w dziedzictwo kulturowe współczesności, przypominając, że każda epoka pozostawia po sobie nie tylko idee, lecz także własną materię. Tę refleksję dopełnia instalacja </w:t>
      </w:r>
      <w:r>
        <w:rPr>
          <w:rFonts w:ascii="Segoe UI;Segoe UI Web (West European);apple-system;BlinkMacSystemFont;Roboto;Helvetica Neue;sans-serif" w:hAnsi="Segoe UI;Segoe UI Web (West European);apple-system;BlinkMacSystemFont;Roboto;Helvetica Neue;sans-serif"/>
          <w:b w:val="false"/>
          <w:i/>
          <w:caps w:val="false"/>
          <w:smallCaps w:val="false"/>
          <w:color w:val="242424"/>
          <w:spacing w:val="0"/>
          <w:sz w:val="23"/>
        </w:rPr>
        <w:t>Futuro è stupido</w:t>
      </w: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t> (</w:t>
      </w:r>
      <w:r>
        <w:rPr>
          <w:rFonts w:ascii="Segoe UI;Segoe UI Web (West European);apple-system;BlinkMacSystemFont;Roboto;Helvetica Neue;sans-serif" w:hAnsi="Segoe UI;Segoe UI Web (West European);apple-system;BlinkMacSystemFont;Roboto;Helvetica Neue;sans-serif"/>
          <w:b w:val="false"/>
          <w:i/>
          <w:caps w:val="false"/>
          <w:smallCaps w:val="false"/>
          <w:color w:val="242424"/>
          <w:spacing w:val="0"/>
          <w:sz w:val="23"/>
        </w:rPr>
        <w:t>Przyszłość jest zdumiewająca</w:t>
      </w: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t>), wskazując, że to, co nadejdzie, nie jest wyłącznie konsekwencją technologicznego rozwoju, lecz przestrzenią nieustannego zdziwienia, pytań i nowych odkryć. W tym sensie włoskie słowo „stupido” (wywodzące się z łac. stupere – popadać w zdumienie) odzyskuje swój pierwotny wymiar olśnienia, otwarcia na to, co nieprzewidywalne.</w:t>
      </w:r>
    </w:p>
    <w:p>
      <w:pPr>
        <w:pStyle w:val="Normal"/>
        <w:widowControl/>
        <w:spacing w:before="0" w:after="0"/>
        <w:ind w:hanging="0" w:start="0" w:end="0"/>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pP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r>
    </w:p>
    <w:p>
      <w:pPr>
        <w:pStyle w:val="Normal"/>
        <w:widowControl/>
        <w:spacing w:before="0" w:after="0"/>
        <w:ind w:hanging="0" w:start="0" w:end="0"/>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pP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color w:val="242424"/>
          <w:spacing w:val="0"/>
          <w:sz w:val="23"/>
        </w:rPr>
        <w:t>Jan Kozaczuk, kurator wystawy </w:t>
      </w:r>
    </w:p>
    <w:p>
      <w:pPr>
        <w:pStyle w:val="Normal"/>
        <w:bidi w:val="0"/>
        <w:jc w:val="start"/>
        <w:rPr>
          <w:rFonts w:ascii="Calibri" w:hAnsi="Calibri"/>
        </w:rPr>
      </w:pPr>
      <w:r>
        <w:rPr>
          <w:rFonts w:ascii="Calibri" w:hAnsi="Calibri"/>
        </w:rPr>
      </w:r>
    </w:p>
    <w:p>
      <w:pPr>
        <w:pStyle w:val="Normal"/>
        <w:bidi w:val="0"/>
        <w:jc w:val="start"/>
        <w:rPr>
          <w:rFonts w:ascii="Calibri" w:hAnsi="Calibri"/>
        </w:rPr>
      </w:pPr>
      <w:r>
        <w:rPr>
          <w:rFonts w:ascii="Calibri" w:hAnsi="Calibri"/>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Segoe UI">
    <w:altName w:val="Segoe UI Web (West European)"/>
    <w:charset w:val="00" w:characterSet="windows-1252"/>
    <w:family w:val="roman"/>
    <w:pitch w:val="variable"/>
  </w:font>
  <w:font w:name="Calibri">
    <w:charset w:val="00" w:characterSet="windows-1252"/>
    <w:family w:val="swiss"/>
    <w:pitch w:val="variable"/>
  </w:font>
</w:fonts>
</file>

<file path=word/settings.xml><?xml version="1.0" encoding="utf-8"?>
<w:settings xmlns:w="http://schemas.openxmlformats.org/wordprocessingml/2006/main">
  <w:zoom w:percent="65"/>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it-IT"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it-IT" w:eastAsia="zh-CN" w:bidi="hi-IN"/>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9</TotalTime>
  <Application>LibreOffice/26.2.5.2$Windows_X86_64 LibreOffice_project/cd7284b4cbbfeb507e630c1aac019f4157393acb</Application>
  <AppVersion>15.0000</AppVersion>
  <Pages>2</Pages>
  <Words>804</Words>
  <Characters>5498</Characters>
  <CharactersWithSpaces>6296</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2026-07-27T12:57:19Z</dcterms:created>
  <dc:creator/>
  <dc:description/>
  <dc:language>it-IT</dc:language>
  <cp:lastModifiedBy/>
  <dcterms:modified xsi:type="dcterms:W3CDTF">2026-09-05T16:28:37Z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